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6A" w:rsidRDefault="00645845">
      <w:pPr>
        <w:contextualSpacing w:val="0"/>
        <w:rPr>
          <w:b/>
          <w:sz w:val="28"/>
          <w:szCs w:val="28"/>
        </w:rPr>
      </w:pPr>
      <w:bookmarkStart w:id="0" w:name="_GoBack"/>
      <w:bookmarkEnd w:id="0"/>
      <w:r>
        <w:rPr>
          <w:b/>
          <w:sz w:val="28"/>
          <w:szCs w:val="28"/>
        </w:rPr>
        <w:t>Implementation Guidance</w:t>
      </w:r>
      <w:r w:rsidR="0004395F">
        <w:rPr>
          <w:b/>
          <w:sz w:val="28"/>
          <w:szCs w:val="28"/>
        </w:rPr>
        <w:t xml:space="preserve"> - </w:t>
      </w:r>
      <w:r>
        <w:rPr>
          <w:b/>
          <w:sz w:val="28"/>
          <w:szCs w:val="28"/>
        </w:rPr>
        <w:t>Recording FY19 State Appropriation</w:t>
      </w:r>
    </w:p>
    <w:p w:rsidR="00E8676A" w:rsidRDefault="00E8676A">
      <w:pPr>
        <w:contextualSpacing w:val="0"/>
        <w:rPr>
          <w:u w:val="single"/>
        </w:rPr>
      </w:pPr>
    </w:p>
    <w:p w:rsidR="00E8676A" w:rsidRDefault="00645845">
      <w:pPr>
        <w:contextualSpacing w:val="0"/>
      </w:pPr>
      <w:r>
        <w:rPr>
          <w:u w:val="single"/>
        </w:rPr>
        <w:t>Purpose:</w:t>
      </w:r>
      <w:r>
        <w:t xml:space="preserve"> </w:t>
      </w:r>
    </w:p>
    <w:p w:rsidR="00E8676A" w:rsidRDefault="00E8676A">
      <w:pPr>
        <w:contextualSpacing w:val="0"/>
      </w:pPr>
    </w:p>
    <w:p w:rsidR="00E8676A" w:rsidRDefault="00645845">
      <w:pPr>
        <w:contextualSpacing w:val="0"/>
      </w:pPr>
      <w:r>
        <w:t>The purpose of this document is to provide high level implementation guidance for each division, department and unit at the University related to the recordation of the FY19 state appropriation and any subsequent changes during the year.</w:t>
      </w:r>
    </w:p>
    <w:p w:rsidR="00E8676A" w:rsidRDefault="00E8676A">
      <w:pPr>
        <w:contextualSpacing w:val="0"/>
      </w:pPr>
    </w:p>
    <w:p w:rsidR="00E8676A" w:rsidRDefault="00645845">
      <w:pPr>
        <w:contextualSpacing w:val="0"/>
      </w:pPr>
      <w:r>
        <w:rPr>
          <w:u w:val="single"/>
        </w:rPr>
        <w:t>Background</w:t>
      </w:r>
      <w:r>
        <w:t xml:space="preserve">: </w:t>
      </w:r>
    </w:p>
    <w:p w:rsidR="00E8676A" w:rsidRDefault="00E8676A">
      <w:pPr>
        <w:contextualSpacing w:val="0"/>
      </w:pPr>
    </w:p>
    <w:p w:rsidR="00E8676A" w:rsidRDefault="00645845">
      <w:pPr>
        <w:contextualSpacing w:val="0"/>
      </w:pPr>
      <w:r>
        <w:t xml:space="preserve">In order to streamline the budget management process throughout the year and to facilitate the budget/actual reconciliation performed by the units, Finance </w:t>
      </w:r>
      <w:r w:rsidR="007251E8">
        <w:t xml:space="preserve">funded </w:t>
      </w:r>
      <w:r>
        <w:t xml:space="preserve">each state account for the entire year at the beginning of the fiscal year in accordance with the approved </w:t>
      </w:r>
      <w:r w:rsidR="007251E8">
        <w:t>July 1</w:t>
      </w:r>
      <w:r w:rsidR="007251E8" w:rsidRPr="00590B0A">
        <w:rPr>
          <w:vertAlign w:val="superscript"/>
        </w:rPr>
        <w:t>st</w:t>
      </w:r>
      <w:r w:rsidR="007251E8">
        <w:t xml:space="preserve"> </w:t>
      </w:r>
      <w:r>
        <w:t>budget</w:t>
      </w:r>
      <w:r w:rsidR="007251E8">
        <w:t>.</w:t>
      </w:r>
      <w:r w:rsidR="00BB3178">
        <w:t xml:space="preserve"> </w:t>
      </w:r>
      <w:r w:rsidR="007251E8">
        <w:t>This entry was posted to object code 0221 – Allocation of State Appropriation</w:t>
      </w:r>
      <w:r>
        <w:t xml:space="preserve">.  </w:t>
      </w:r>
      <w:r w:rsidR="007251E8">
        <w:t xml:space="preserve">Please note there are circumstances, such as a </w:t>
      </w:r>
      <w:r w:rsidR="004C4F90">
        <w:t xml:space="preserve">campus or state </w:t>
      </w:r>
      <w:r w:rsidR="007251E8">
        <w:t>budget cut</w:t>
      </w:r>
      <w:r w:rsidR="001179AD">
        <w:t>, which</w:t>
      </w:r>
      <w:r w:rsidR="003D7D19">
        <w:t xml:space="preserve"> may cause the amount posted in July </w:t>
      </w:r>
      <w:r w:rsidR="007251E8">
        <w:t xml:space="preserve">to be subsequently adjusted. </w:t>
      </w:r>
      <w:r w:rsidR="00F47481">
        <w:t xml:space="preserve"> </w:t>
      </w:r>
      <w:r w:rsidR="003D7D19">
        <w:t>The</w:t>
      </w:r>
      <w:r>
        <w:t xml:space="preserve"> </w:t>
      </w:r>
      <w:r w:rsidRPr="00EE0903">
        <w:rPr>
          <w:b/>
        </w:rPr>
        <w:t>Appendix</w:t>
      </w:r>
      <w:r>
        <w:t xml:space="preserve"> </w:t>
      </w:r>
      <w:r w:rsidR="003D7D19">
        <w:t xml:space="preserve">provides a </w:t>
      </w:r>
      <w:r>
        <w:t>description of the high-level process flow.</w:t>
      </w:r>
    </w:p>
    <w:p w:rsidR="00E8676A" w:rsidRDefault="00E8676A">
      <w:pPr>
        <w:contextualSpacing w:val="0"/>
      </w:pPr>
    </w:p>
    <w:p w:rsidR="00E8676A" w:rsidRDefault="00645845">
      <w:pPr>
        <w:contextualSpacing w:val="0"/>
        <w:rPr>
          <w:u w:val="single"/>
        </w:rPr>
      </w:pPr>
      <w:r>
        <w:rPr>
          <w:u w:val="single"/>
        </w:rPr>
        <w:t>Impact and Guidance:</w:t>
      </w:r>
    </w:p>
    <w:p w:rsidR="00E8676A" w:rsidRDefault="00E8676A">
      <w:pPr>
        <w:contextualSpacing w:val="0"/>
      </w:pPr>
    </w:p>
    <w:p w:rsidR="003D7D19" w:rsidRDefault="00645845">
      <w:pPr>
        <w:contextualSpacing w:val="0"/>
      </w:pPr>
      <w:r>
        <w:t xml:space="preserve">As a result of Central University </w:t>
      </w:r>
      <w:r w:rsidR="00330C61">
        <w:t xml:space="preserve">fully </w:t>
      </w:r>
      <w:r>
        <w:t xml:space="preserve">funding division state accounts at the beginning of the fiscal year, </w:t>
      </w:r>
      <w:r w:rsidR="003D7D19">
        <w:t>subsequent movement of state budget</w:t>
      </w:r>
      <w:r w:rsidR="007251E8">
        <w:t xml:space="preserve"> </w:t>
      </w:r>
      <w:r>
        <w:t>w</w:t>
      </w:r>
      <w:r w:rsidR="004C4F90">
        <w:t>ill</w:t>
      </w:r>
      <w:r>
        <w:t xml:space="preserve"> require schools/colleges/divisions to record changes to </w:t>
      </w:r>
      <w:r>
        <w:rPr>
          <w:b/>
          <w:u w:val="single"/>
        </w:rPr>
        <w:t>both</w:t>
      </w:r>
      <w:r>
        <w:t xml:space="preserve"> revenue and expense.  </w:t>
      </w:r>
    </w:p>
    <w:p w:rsidR="004603EA" w:rsidRDefault="004603EA">
      <w:pPr>
        <w:contextualSpacing w:val="0"/>
      </w:pPr>
    </w:p>
    <w:p w:rsidR="008A560D" w:rsidRPr="000B6FCB" w:rsidRDefault="008A560D" w:rsidP="004603EA">
      <w:pPr>
        <w:rPr>
          <w:u w:val="single"/>
        </w:rPr>
      </w:pPr>
      <w:r w:rsidRPr="000B6FCB">
        <w:rPr>
          <w:u w:val="single"/>
        </w:rPr>
        <w:t>Budget Amendments:</w:t>
      </w:r>
    </w:p>
    <w:p w:rsidR="008A560D" w:rsidRDefault="008A560D" w:rsidP="008A560D">
      <w:pPr>
        <w:ind w:left="720"/>
      </w:pPr>
    </w:p>
    <w:p w:rsidR="00330C61" w:rsidRDefault="00645845" w:rsidP="004603EA">
      <w:r>
        <w:t xml:space="preserve">If budget changes are needed </w:t>
      </w:r>
      <w:r w:rsidR="00155899">
        <w:t>during the fiscal year,</w:t>
      </w:r>
      <w:r>
        <w:t xml:space="preserve"> a budget amendment </w:t>
      </w:r>
      <w:r w:rsidR="004C4F90">
        <w:t>must</w:t>
      </w:r>
      <w:r>
        <w:t xml:space="preserve"> be prepared to adjust </w:t>
      </w:r>
      <w:r>
        <w:rPr>
          <w:b/>
          <w:u w:val="single"/>
        </w:rPr>
        <w:t>both</w:t>
      </w:r>
      <w:r>
        <w:t xml:space="preserve"> the expense</w:t>
      </w:r>
      <w:r w:rsidR="00EF6F0F">
        <w:t xml:space="preserve"> </w:t>
      </w:r>
      <w:r w:rsidR="00EF6F0F" w:rsidRPr="00155899">
        <w:rPr>
          <w:b/>
          <w:u w:val="single"/>
        </w:rPr>
        <w:t>and</w:t>
      </w:r>
      <w:r>
        <w:t xml:space="preserve"> </w:t>
      </w:r>
      <w:r w:rsidR="00EF6F0F">
        <w:t xml:space="preserve">revenue (funding) </w:t>
      </w:r>
      <w:r>
        <w:t xml:space="preserve">in BPM via ELF-BA.  </w:t>
      </w:r>
      <w:r w:rsidR="00330C61">
        <w:t>Examples include:</w:t>
      </w:r>
    </w:p>
    <w:p w:rsidR="00330C61" w:rsidRDefault="00330C61" w:rsidP="00C951A2">
      <w:pPr>
        <w:pStyle w:val="ListParagraph"/>
        <w:numPr>
          <w:ilvl w:val="0"/>
          <w:numId w:val="4"/>
        </w:numPr>
      </w:pPr>
      <w:r>
        <w:t>Faculty salary budget move from one account to another</w:t>
      </w:r>
    </w:p>
    <w:p w:rsidR="00330C61" w:rsidRDefault="00330C61" w:rsidP="00C951A2">
      <w:pPr>
        <w:pStyle w:val="ListParagraph"/>
        <w:numPr>
          <w:ilvl w:val="0"/>
          <w:numId w:val="4"/>
        </w:numPr>
      </w:pPr>
      <w:r>
        <w:t>Graduate assistant salary budget move from one account to another</w:t>
      </w:r>
    </w:p>
    <w:p w:rsidR="00330C61" w:rsidRDefault="00330C61" w:rsidP="00C951A2">
      <w:pPr>
        <w:pStyle w:val="ListParagraph"/>
        <w:numPr>
          <w:ilvl w:val="0"/>
          <w:numId w:val="4"/>
        </w:numPr>
      </w:pPr>
      <w:r>
        <w:t>Expense budget move from one account to another</w:t>
      </w:r>
    </w:p>
    <w:p w:rsidR="00330C61" w:rsidRDefault="00330C61" w:rsidP="00C951A2">
      <w:pPr>
        <w:pStyle w:val="ListParagraph"/>
        <w:numPr>
          <w:ilvl w:val="0"/>
          <w:numId w:val="4"/>
        </w:numPr>
      </w:pPr>
      <w:r>
        <w:t>Budget cut in subsequent quarters (Central University will allocate the cut to divisions)</w:t>
      </w:r>
    </w:p>
    <w:p w:rsidR="00330C61" w:rsidRDefault="00330C61" w:rsidP="004603EA"/>
    <w:p w:rsidR="00E8676A" w:rsidRDefault="00A333BF" w:rsidP="004603EA">
      <w:r>
        <w:t>Because e</w:t>
      </w:r>
      <w:r w:rsidR="00645845">
        <w:t>ach state account is balanced to zero</w:t>
      </w:r>
      <w:r>
        <w:t>, t</w:t>
      </w:r>
      <w:r w:rsidR="00645845">
        <w:t>he budget amendment to transfer the funding with movement of expen</w:t>
      </w:r>
      <w:r w:rsidR="00EF6F0F">
        <w:t>se</w:t>
      </w:r>
      <w:r w:rsidR="00645845">
        <w:t>/other revenues serves to keep both accounts’ budget in balance.</w:t>
      </w:r>
      <w:r w:rsidR="00330C61">
        <w:t xml:space="preserve">  A simple check is to verify your revised budget is equal to zero after posting of the budget amendment.</w:t>
      </w:r>
    </w:p>
    <w:p w:rsidR="00E8676A" w:rsidRDefault="00645845" w:rsidP="00EE0903">
      <w:pPr>
        <w:numPr>
          <w:ilvl w:val="0"/>
          <w:numId w:val="1"/>
        </w:numPr>
      </w:pPr>
      <w:r>
        <w:t xml:space="preserve">Budget amendments may be done for current year only, current/future years and future year only (see screenshot below for the current/future scenario).  </w:t>
      </w:r>
    </w:p>
    <w:p w:rsidR="00E8676A" w:rsidRDefault="00645845" w:rsidP="00EE0903">
      <w:pPr>
        <w:numPr>
          <w:ilvl w:val="0"/>
          <w:numId w:val="1"/>
        </w:numPr>
      </w:pPr>
      <w:r>
        <w:t xml:space="preserve">For current year and future year only scenarios, the drop down box under the “Apply Budget Amendment to” header can be adjusted accordingly. </w:t>
      </w:r>
    </w:p>
    <w:p w:rsidR="00E8676A" w:rsidRDefault="00645845" w:rsidP="00EE0903">
      <w:pPr>
        <w:numPr>
          <w:ilvl w:val="0"/>
          <w:numId w:val="1"/>
        </w:numPr>
      </w:pPr>
      <w:r>
        <w:t>The amendments impacting the current year, which are reflected in the revised budget numbers in BPM are loaded into KFS.</w:t>
      </w:r>
    </w:p>
    <w:p w:rsidR="00330C61" w:rsidRDefault="00330C61" w:rsidP="00280EE3">
      <w:pPr>
        <w:contextualSpacing w:val="0"/>
        <w:rPr>
          <w:u w:val="single"/>
        </w:rPr>
      </w:pPr>
    </w:p>
    <w:p w:rsidR="008A560D" w:rsidRPr="000B6FCB" w:rsidRDefault="008A560D" w:rsidP="00280EE3">
      <w:pPr>
        <w:contextualSpacing w:val="0"/>
        <w:rPr>
          <w:u w:val="single"/>
        </w:rPr>
      </w:pPr>
      <w:r w:rsidRPr="000B6FCB">
        <w:rPr>
          <w:u w:val="single"/>
        </w:rPr>
        <w:t>Journal Entries:</w:t>
      </w:r>
      <w:r w:rsidR="00645845" w:rsidRPr="000B6FCB">
        <w:rPr>
          <w:u w:val="single"/>
        </w:rPr>
        <w:t xml:space="preserve"> </w:t>
      </w:r>
    </w:p>
    <w:p w:rsidR="00330C61" w:rsidRDefault="00330C61">
      <w:pPr>
        <w:ind w:left="720" w:hanging="360"/>
        <w:contextualSpacing w:val="0"/>
      </w:pPr>
    </w:p>
    <w:p w:rsidR="00EB3DAD" w:rsidRPr="00DF6073" w:rsidRDefault="00804F87" w:rsidP="004603EA">
      <w:pPr>
        <w:contextualSpacing w:val="0"/>
        <w:rPr>
          <w:noProof/>
          <w:lang w:val="en-US"/>
        </w:rPr>
      </w:pPr>
      <w:r w:rsidRPr="00DF6073">
        <w:t xml:space="preserve">If the Budget Amendment </w:t>
      </w:r>
      <w:r w:rsidR="00EF6F0F" w:rsidRPr="00DF6073">
        <w:t>affects the current fiscal year</w:t>
      </w:r>
      <w:r w:rsidR="00381479" w:rsidRPr="00DF6073">
        <w:t xml:space="preserve"> you MUST submit an Auxiliary Voucher document</w:t>
      </w:r>
      <w:r w:rsidR="00645845" w:rsidRPr="00DF6073">
        <w:t xml:space="preserve"> </w:t>
      </w:r>
      <w:r w:rsidR="00381479" w:rsidRPr="00DF6073">
        <w:t xml:space="preserve">in KFS </w:t>
      </w:r>
      <w:r w:rsidR="00645845" w:rsidRPr="00DF6073">
        <w:t xml:space="preserve">to move </w:t>
      </w:r>
      <w:r w:rsidR="00EF6F0F" w:rsidRPr="00DF6073">
        <w:t>funding (</w:t>
      </w:r>
      <w:r w:rsidR="00A333BF" w:rsidRPr="00DF6073">
        <w:t>c</w:t>
      </w:r>
      <w:r w:rsidR="00645845" w:rsidRPr="00DF6073">
        <w:t>ash</w:t>
      </w:r>
      <w:r w:rsidR="00EF6F0F" w:rsidRPr="00DF6073">
        <w:t>)</w:t>
      </w:r>
      <w:r w:rsidR="00645845" w:rsidRPr="00DF6073">
        <w:t xml:space="preserve"> related to </w:t>
      </w:r>
      <w:r w:rsidR="00A333BF" w:rsidRPr="00DF6073">
        <w:t xml:space="preserve">a </w:t>
      </w:r>
      <w:r w:rsidR="00645845" w:rsidRPr="00DF6073">
        <w:t xml:space="preserve">budget change. If </w:t>
      </w:r>
      <w:r w:rsidR="00EF6F0F" w:rsidRPr="00DF6073">
        <w:t xml:space="preserve">funding is not transferred to </w:t>
      </w:r>
      <w:r w:rsidR="00EF6F0F" w:rsidRPr="00DF6073">
        <w:lastRenderedPageBreak/>
        <w:t xml:space="preserve">cover the expense, </w:t>
      </w:r>
      <w:r w:rsidR="00645845" w:rsidRPr="00DF6073">
        <w:t>the account in which the spendi</w:t>
      </w:r>
      <w:r w:rsidR="0022360A" w:rsidRPr="00DF6073">
        <w:t>ng occurs w</w:t>
      </w:r>
      <w:r w:rsidR="00EF6F0F" w:rsidRPr="00DF6073">
        <w:t>ill</w:t>
      </w:r>
      <w:r w:rsidR="0022360A" w:rsidRPr="00DF6073">
        <w:t xml:space="preserve"> have a deficit</w:t>
      </w:r>
      <w:r w:rsidR="00EF6F0F" w:rsidRPr="00DF6073">
        <w:t>;</w:t>
      </w:r>
      <w:r w:rsidR="0022360A" w:rsidRPr="00DF6073">
        <w:t xml:space="preserve"> all deficits are expected to be cleared by year-end.</w:t>
      </w:r>
      <w:r w:rsidR="00645845" w:rsidRPr="00DF6073">
        <w:t xml:space="preserve"> Conversely, the account that retained the funding </w:t>
      </w:r>
      <w:r w:rsidR="00EF6F0F" w:rsidRPr="00DF6073">
        <w:t xml:space="preserve">(cash) </w:t>
      </w:r>
      <w:r w:rsidR="00645845" w:rsidRPr="00DF6073">
        <w:t>w</w:t>
      </w:r>
      <w:r w:rsidR="00EF6F0F" w:rsidRPr="00DF6073">
        <w:t xml:space="preserve">ill </w:t>
      </w:r>
      <w:r w:rsidR="00645845" w:rsidRPr="00DF6073">
        <w:t xml:space="preserve">have a </w:t>
      </w:r>
      <w:r w:rsidR="00A333BF" w:rsidRPr="00DF6073">
        <w:t>s</w:t>
      </w:r>
      <w:r w:rsidR="00645845" w:rsidRPr="00DF6073">
        <w:t xml:space="preserve">urplus.  </w:t>
      </w:r>
      <w:r w:rsidRPr="00DF6073">
        <w:t>If the Budge</w:t>
      </w:r>
      <w:r w:rsidR="00155899">
        <w:t xml:space="preserve">t Amendment is Future only, </w:t>
      </w:r>
      <w:r w:rsidRPr="00DF6073">
        <w:t xml:space="preserve"> </w:t>
      </w:r>
      <w:r w:rsidRPr="00DF6073">
        <w:rPr>
          <w:u w:val="single"/>
        </w:rPr>
        <w:t>NO</w:t>
      </w:r>
      <w:r w:rsidRPr="00DF6073">
        <w:t xml:space="preserve"> KFS </w:t>
      </w:r>
      <w:r w:rsidR="00381479" w:rsidRPr="00DF6073">
        <w:t>document</w:t>
      </w:r>
      <w:r w:rsidRPr="00DF6073">
        <w:t xml:space="preserve"> is needed.</w:t>
      </w:r>
      <w:r w:rsidR="00EB3DAD" w:rsidRPr="00DF6073">
        <w:rPr>
          <w:noProof/>
          <w:lang w:val="en-US"/>
        </w:rPr>
        <w:t xml:space="preserve"> </w:t>
      </w:r>
    </w:p>
    <w:p w:rsidR="00EB3DAD" w:rsidRPr="00DF6073" w:rsidRDefault="00EB3DAD" w:rsidP="004603EA">
      <w:pPr>
        <w:contextualSpacing w:val="0"/>
        <w:rPr>
          <w:noProof/>
          <w:lang w:val="en-US"/>
        </w:rPr>
      </w:pPr>
    </w:p>
    <w:p w:rsidR="00EB3DAD" w:rsidRDefault="00EB3DAD" w:rsidP="004603EA">
      <w:pPr>
        <w:rPr>
          <w:b/>
          <w:u w:val="single"/>
        </w:rPr>
      </w:pPr>
      <w:r>
        <w:rPr>
          <w:b/>
          <w:u w:val="single"/>
        </w:rPr>
        <w:t xml:space="preserve">Scenario:  Movement of Faculty Salary Budget from One State Account to Another </w:t>
      </w:r>
    </w:p>
    <w:p w:rsidR="00EB3DAD" w:rsidRDefault="00EB3DAD" w:rsidP="004603EA">
      <w:pPr>
        <w:rPr>
          <w:b/>
          <w:u w:val="single"/>
        </w:rPr>
      </w:pPr>
    </w:p>
    <w:p w:rsidR="00EB3DAD" w:rsidRDefault="00EB3DAD" w:rsidP="00590B0A">
      <w:pPr>
        <w:pStyle w:val="ListParagraph"/>
        <w:numPr>
          <w:ilvl w:val="0"/>
          <w:numId w:val="3"/>
        </w:numPr>
        <w:rPr>
          <w:u w:val="single"/>
        </w:rPr>
      </w:pPr>
      <w:r w:rsidRPr="00590B0A">
        <w:rPr>
          <w:u w:val="single"/>
        </w:rPr>
        <w:t xml:space="preserve"> Budget Amendment</w:t>
      </w:r>
      <w:r w:rsidR="0043302F">
        <w:rPr>
          <w:u w:val="single"/>
        </w:rPr>
        <w:t xml:space="preserve"> (ELF BA)</w:t>
      </w:r>
    </w:p>
    <w:p w:rsidR="00EB3DAD" w:rsidRPr="00590B0A" w:rsidRDefault="00EB3DAD">
      <w:pPr>
        <w:rPr>
          <w:u w:val="single"/>
        </w:rPr>
      </w:pPr>
    </w:p>
    <w:p w:rsidR="00E8676A" w:rsidRDefault="002B66CD" w:rsidP="004603EA">
      <w:pPr>
        <w:contextualSpacing w:val="0"/>
      </w:pPr>
      <w:r>
        <w:rPr>
          <w:noProof/>
          <w:color w:val="0000FF"/>
          <w:lang w:val="en-US"/>
        </w:rPr>
        <mc:AlternateContent>
          <mc:Choice Requires="wps">
            <w:drawing>
              <wp:anchor distT="0" distB="0" distL="114300" distR="114300" simplePos="0" relativeHeight="251663360" behindDoc="0" locked="0" layoutInCell="1" allowOverlap="1" wp14:anchorId="72F32748" wp14:editId="7536F68E">
                <wp:simplePos x="0" y="0"/>
                <wp:positionH relativeFrom="column">
                  <wp:posOffset>6210300</wp:posOffset>
                </wp:positionH>
                <wp:positionV relativeFrom="paragraph">
                  <wp:posOffset>1745615</wp:posOffset>
                </wp:positionV>
                <wp:extent cx="571500" cy="0"/>
                <wp:effectExtent l="57150" t="152400" r="0" b="209550"/>
                <wp:wrapNone/>
                <wp:docPr id="12" name="Straight Arrow Connector 12"/>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noFill/>
                        <a:ln w="34925" cap="flat" cmpd="sng" algn="ctr">
                          <a:solidFill>
                            <a:srgbClr val="4F81BD"/>
                          </a:solidFill>
                          <a:prstDash val="solid"/>
                          <a:tailEnd type="arrow" w="lg" len="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3F08E52" id="_x0000_t32" coordsize="21600,21600" o:spt="32" o:oned="t" path="m,l21600,21600e" filled="f">
                <v:path arrowok="t" fillok="f" o:connecttype="none"/>
                <o:lock v:ext="edit" shapetype="t"/>
              </v:shapetype>
              <v:shape id="Straight Arrow Connector 12" o:spid="_x0000_s1026" type="#_x0000_t32" style="position:absolute;margin-left:489pt;margin-top:137.45pt;width:4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" strokecolor="#4f81bd" strokeweight="2.75pt">
                <v:stroke endarrow="open" endarrowwidth="wide" endarrowlength="long"/>
                <v:shadow on="t" color="black" opacity="24903f" origin=",.5" offset="0,.55556mm"/>
              </v:shape>
            </w:pict>
          </mc:Fallback>
        </mc:AlternateContent>
      </w:r>
      <w:r>
        <w:rPr>
          <w:noProof/>
          <w:color w:val="0000FF"/>
          <w:lang w:val="en-US"/>
        </w:rPr>
        <mc:AlternateContent>
          <mc:Choice Requires="wps">
            <w:drawing>
              <wp:anchor distT="0" distB="0" distL="114300" distR="114300" simplePos="0" relativeHeight="251661312" behindDoc="0" locked="0" layoutInCell="1" allowOverlap="1" wp14:anchorId="11F9459C" wp14:editId="22F02CCB">
                <wp:simplePos x="0" y="0"/>
                <wp:positionH relativeFrom="column">
                  <wp:posOffset>6781800</wp:posOffset>
                </wp:positionH>
                <wp:positionV relativeFrom="paragraph">
                  <wp:posOffset>1745615</wp:posOffset>
                </wp:positionV>
                <wp:extent cx="76200" cy="4770120"/>
                <wp:effectExtent l="76200" t="38100" r="76200" b="68580"/>
                <wp:wrapNone/>
                <wp:docPr id="11" name="Straight Connector 11"/>
                <wp:cNvGraphicFramePr/>
                <a:graphic xmlns:a="http://schemas.openxmlformats.org/drawingml/2006/main">
                  <a:graphicData uri="http://schemas.microsoft.com/office/word/2010/wordprocessingShape">
                    <wps:wsp>
                      <wps:cNvCnPr/>
                      <wps:spPr>
                        <a:xfrm flipH="1" flipV="1">
                          <a:off x="0" y="0"/>
                          <a:ext cx="76200" cy="4770120"/>
                        </a:xfrm>
                        <a:prstGeom prst="line">
                          <a:avLst/>
                        </a:prstGeom>
                        <a:ln w="34925">
                          <a:tailEnd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AE1C1" id="Straight Connector 1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37.45pt" to="540pt,5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" strokecolor="#4f81bd [3204]" strokeweight="2.75pt">
                <v:stroke endarrowwidth="wide" endarrowlength="long"/>
                <v:shadow on="t" color="black" opacity="24903f" origin=",.5" offset="0,.55556mm"/>
              </v:line>
            </w:pict>
          </mc:Fallback>
        </mc:AlternateContent>
      </w:r>
      <w:r w:rsidR="002A5C1C" w:rsidRPr="00804F87">
        <w:rPr>
          <w:noProof/>
          <w:color w:val="0000FF"/>
          <w:lang w:val="en-US"/>
        </w:rPr>
        <mc:AlternateContent>
          <mc:Choice Requires="wps">
            <w:drawing>
              <wp:anchor distT="45720" distB="45720" distL="114300" distR="114300" simplePos="0" relativeHeight="251653120" behindDoc="0" locked="0" layoutInCell="1" allowOverlap="1" wp14:anchorId="46D75CED" wp14:editId="4F14C5F7">
                <wp:simplePos x="0" y="0"/>
                <wp:positionH relativeFrom="margin">
                  <wp:posOffset>0</wp:posOffset>
                </wp:positionH>
                <wp:positionV relativeFrom="paragraph">
                  <wp:posOffset>2385060</wp:posOffset>
                </wp:positionV>
                <wp:extent cx="6141720" cy="312420"/>
                <wp:effectExtent l="0" t="0" r="1143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12420"/>
                        </a:xfrm>
                        <a:prstGeom prst="rect">
                          <a:avLst/>
                        </a:prstGeom>
                        <a:solidFill>
                          <a:srgbClr val="FFFFFF"/>
                        </a:solidFill>
                        <a:ln w="9525">
                          <a:solidFill>
                            <a:srgbClr val="000000"/>
                          </a:solidFill>
                          <a:miter lim="800000"/>
                          <a:headEnd/>
                          <a:tailEnd/>
                        </a:ln>
                      </wps:spPr>
                      <wps:txbx>
                        <w:txbxContent>
                          <w:p w:rsidR="00EB3DAD" w:rsidRDefault="00EB3DAD" w:rsidP="00EB3DAD">
                            <w:r w:rsidRPr="00EE0903">
                              <w:rPr>
                                <w:color w:val="FF0000"/>
                              </w:rPr>
                              <w:t xml:space="preserve">Note that the Debit and Credit sides are reversed for the change in revenue shown in Line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75CED" id="_x0000_t202" coordsize="21600,21600" o:spt="202" path="m,l,21600r21600,l21600,xe">
                <v:stroke joinstyle="miter"/>
                <v:path gradientshapeok="t" o:connecttype="rect"/>
              </v:shapetype>
              <v:shape id="Text Box 2" o:spid="_x0000_s1026" type="#_x0000_t202" style="position:absolute;margin-left:0;margin-top:187.8pt;width:483.6pt;height:24.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">
                <v:textbox>
                  <w:txbxContent>
                    <w:p w:rsidR="00EB3DAD" w:rsidRDefault="00EB3DAD" w:rsidP="00EB3DAD">
                      <w:r w:rsidRPr="00EE0903">
                        <w:rPr>
                          <w:color w:val="FF0000"/>
                        </w:rPr>
                        <w:t xml:space="preserve">Note that the Debit and Credit sides are reversed for the change in revenue shown in Line 2 </w:t>
                      </w:r>
                    </w:p>
                  </w:txbxContent>
                </v:textbox>
                <w10:wrap type="square" anchorx="margin"/>
              </v:shape>
            </w:pict>
          </mc:Fallback>
        </mc:AlternateContent>
      </w:r>
      <w:r w:rsidR="002A5C1C">
        <w:rPr>
          <w:noProof/>
          <w:lang w:val="en-US"/>
        </w:rPr>
        <mc:AlternateContent>
          <mc:Choice Requires="wps">
            <w:drawing>
              <wp:anchor distT="0" distB="0" distL="114300" distR="114300" simplePos="0" relativeHeight="251655168" behindDoc="0" locked="0" layoutInCell="1" allowOverlap="1" wp14:anchorId="6AFB74B6" wp14:editId="4BB95E1B">
                <wp:simplePos x="0" y="0"/>
                <wp:positionH relativeFrom="column">
                  <wp:posOffset>883920</wp:posOffset>
                </wp:positionH>
                <wp:positionV relativeFrom="paragraph">
                  <wp:posOffset>1844040</wp:posOffset>
                </wp:positionV>
                <wp:extent cx="200025" cy="542925"/>
                <wp:effectExtent l="57150" t="38100" r="66675" b="104775"/>
                <wp:wrapNone/>
                <wp:docPr id="9" name="Up Arrow 9"/>
                <wp:cNvGraphicFramePr/>
                <a:graphic xmlns:a="http://schemas.openxmlformats.org/drawingml/2006/main">
                  <a:graphicData uri="http://schemas.microsoft.com/office/word/2010/wordprocessingShape">
                    <wps:wsp>
                      <wps:cNvSpPr/>
                      <wps:spPr>
                        <a:xfrm>
                          <a:off x="0" y="0"/>
                          <a:ext cx="200025" cy="542925"/>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6321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69.6pt;margin-top:145.2pt;width:15.75pt;height:4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" adj="3979" fillcolor="#4f81bd [3204]" strokecolor="#4579b8 [3044]">
                <v:fill color2="#a7bfde [1620]" rotate="t" angle="180" focus="100%" type="gradient">
                  <o:fill v:ext="view" type="gradientUnscaled"/>
                </v:fill>
                <v:shadow on="t" color="black" opacity="22937f" origin=",.5" offset="0,.63889mm"/>
              </v:shape>
            </w:pict>
          </mc:Fallback>
        </mc:AlternateContent>
      </w:r>
      <w:r w:rsidR="00EB3DAD">
        <w:rPr>
          <w:noProof/>
          <w:lang w:val="en-US"/>
        </w:rPr>
        <w:drawing>
          <wp:inline distT="0" distB="0" distL="0" distR="0" wp14:anchorId="215C128B" wp14:editId="64402514">
            <wp:extent cx="6362700" cy="222480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2224802"/>
                    </a:xfrm>
                    <a:prstGeom prst="rect">
                      <a:avLst/>
                    </a:prstGeom>
                    <a:noFill/>
                  </pic:spPr>
                </pic:pic>
              </a:graphicData>
            </a:graphic>
          </wp:inline>
        </w:drawing>
      </w:r>
    </w:p>
    <w:p w:rsidR="002A5C1C" w:rsidRDefault="002A5C1C" w:rsidP="004603EA">
      <w:pPr>
        <w:contextualSpacing w:val="0"/>
      </w:pPr>
    </w:p>
    <w:p w:rsidR="002A5C1C" w:rsidRDefault="002A5C1C" w:rsidP="002A5C1C">
      <w:pPr>
        <w:pStyle w:val="ListParagraph"/>
        <w:numPr>
          <w:ilvl w:val="0"/>
          <w:numId w:val="3"/>
        </w:numPr>
        <w:rPr>
          <w:u w:val="single"/>
        </w:rPr>
      </w:pPr>
      <w:r>
        <w:rPr>
          <w:u w:val="single"/>
        </w:rPr>
        <w:t>Journal Entry Using Auxiliary Voucher</w:t>
      </w:r>
    </w:p>
    <w:p w:rsidR="00330C61" w:rsidRDefault="00330C61" w:rsidP="00C951A2">
      <w:pPr>
        <w:pStyle w:val="ListParagraph"/>
        <w:ind w:left="360"/>
        <w:rPr>
          <w:u w:val="single"/>
        </w:rPr>
      </w:pPr>
    </w:p>
    <w:p w:rsidR="00176D84" w:rsidRDefault="002B66CD" w:rsidP="00590B0A">
      <w:pPr>
        <w:contextualSpacing w:val="0"/>
      </w:pPr>
      <w:r>
        <w:rPr>
          <w:noProof/>
          <w:color w:val="0000FF"/>
          <w:lang w:val="en-US"/>
        </w:rPr>
        <mc:AlternateContent>
          <mc:Choice Requires="wps">
            <w:drawing>
              <wp:anchor distT="0" distB="0" distL="114300" distR="114300" simplePos="0" relativeHeight="251659264" behindDoc="0" locked="0" layoutInCell="1" allowOverlap="1" wp14:anchorId="696C05E2" wp14:editId="702A917B">
                <wp:simplePos x="0" y="0"/>
                <wp:positionH relativeFrom="column">
                  <wp:posOffset>6202680</wp:posOffset>
                </wp:positionH>
                <wp:positionV relativeFrom="paragraph">
                  <wp:posOffset>3206750</wp:posOffset>
                </wp:positionV>
                <wp:extent cx="655320" cy="0"/>
                <wp:effectExtent l="57150" t="152400" r="0" b="209550"/>
                <wp:wrapNone/>
                <wp:docPr id="6" name="Straight Arrow Connector 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w="34925">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F09AD" id="Straight Arrow Connector 6" o:spid="_x0000_s1026" type="#_x0000_t32" style="position:absolute;margin-left:488.4pt;margin-top:252.5pt;width:51.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" strokecolor="#4f81bd [3204]" strokeweight="2.75pt">
                <v:stroke endarrow="open" endarrowwidth="wide" endarrowlength="long"/>
                <v:shadow on="t" color="black" opacity="24903f" origin=",.5" offset="0,.55556mm"/>
              </v:shape>
            </w:pict>
          </mc:Fallback>
        </mc:AlternateContent>
      </w:r>
      <w:r w:rsidR="00176D84">
        <w:rPr>
          <w:noProof/>
          <w:lang w:val="en-US"/>
        </w:rPr>
        <w:drawing>
          <wp:inline distT="0" distB="0" distL="0" distR="0" wp14:anchorId="20A3DD41" wp14:editId="496BC5DA">
            <wp:extent cx="6697980" cy="2933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97980" cy="2933700"/>
                    </a:xfrm>
                    <a:prstGeom prst="rect">
                      <a:avLst/>
                    </a:prstGeom>
                  </pic:spPr>
                </pic:pic>
              </a:graphicData>
            </a:graphic>
          </wp:inline>
        </w:drawing>
      </w:r>
    </w:p>
    <w:p w:rsidR="00155899" w:rsidRDefault="002B66CD" w:rsidP="00155899">
      <w:pPr>
        <w:ind w:left="720"/>
        <w:contextualSpacing w:val="0"/>
      </w:pPr>
      <w:r w:rsidRPr="00804F87">
        <w:rPr>
          <w:noProof/>
          <w:color w:val="0000FF"/>
          <w:lang w:val="en-US"/>
        </w:rPr>
        <mc:AlternateContent>
          <mc:Choice Requires="wps">
            <w:drawing>
              <wp:anchor distT="45720" distB="45720" distL="114300" distR="114300" simplePos="0" relativeHeight="251657216" behindDoc="0" locked="0" layoutInCell="1" allowOverlap="1" wp14:anchorId="469221B9" wp14:editId="6F2494C4">
                <wp:simplePos x="0" y="0"/>
                <wp:positionH relativeFrom="margin">
                  <wp:posOffset>0</wp:posOffset>
                </wp:positionH>
                <wp:positionV relativeFrom="paragraph">
                  <wp:posOffset>147320</wp:posOffset>
                </wp:positionV>
                <wp:extent cx="6141720" cy="3124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12420"/>
                        </a:xfrm>
                        <a:prstGeom prst="rect">
                          <a:avLst/>
                        </a:prstGeom>
                        <a:solidFill>
                          <a:srgbClr val="FFFFFF"/>
                        </a:solidFill>
                        <a:ln w="9525">
                          <a:solidFill>
                            <a:srgbClr val="000000"/>
                          </a:solidFill>
                          <a:miter lim="800000"/>
                          <a:headEnd/>
                          <a:tailEnd/>
                        </a:ln>
                      </wps:spPr>
                      <wps:txbx>
                        <w:txbxContent>
                          <w:p w:rsidR="002A5C1C" w:rsidRDefault="002A5C1C" w:rsidP="002A5C1C">
                            <w:r w:rsidRPr="00EE0903">
                              <w:rPr>
                                <w:color w:val="FF0000"/>
                              </w:rPr>
                              <w:t xml:space="preserve">Note </w:t>
                            </w:r>
                            <w:r>
                              <w:rPr>
                                <w:color w:val="FF0000"/>
                              </w:rPr>
                              <w:t xml:space="preserve">the entry is the same as line 2 of the budget amendment.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221B9" id="_x0000_s1027" type="#_x0000_t202" style="position:absolute;left:0;text-align:left;margin-left:0;margin-top:11.6pt;width:483.6pt;height:24.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">
                <v:textbox>
                  <w:txbxContent>
                    <w:p w:rsidR="002A5C1C" w:rsidRDefault="002A5C1C" w:rsidP="002A5C1C">
                      <w:r w:rsidRPr="00EE0903">
                        <w:rPr>
                          <w:color w:val="FF0000"/>
                        </w:rPr>
                        <w:t xml:space="preserve">Note </w:t>
                      </w:r>
                      <w:r>
                        <w:rPr>
                          <w:color w:val="FF0000"/>
                        </w:rPr>
                        <w:t xml:space="preserve">the entry is the same as line 2 of the budget amendment. </w:t>
                      </w:r>
                    </w:p>
                  </w:txbxContent>
                </v:textbox>
                <w10:wrap type="square" anchorx="margin"/>
              </v:shape>
            </w:pict>
          </mc:Fallback>
        </mc:AlternateContent>
      </w:r>
    </w:p>
    <w:p w:rsidR="00B80D30" w:rsidRDefault="00A333BF" w:rsidP="00155899">
      <w:pPr>
        <w:contextualSpacing w:val="0"/>
      </w:pPr>
      <w:r>
        <w:lastRenderedPageBreak/>
        <w:t xml:space="preserve">Please note there are many examples </w:t>
      </w:r>
      <w:r w:rsidR="00B80D30">
        <w:t xml:space="preserve">requiring </w:t>
      </w:r>
      <w:r>
        <w:t xml:space="preserve">funding changes throughout the year.  Additional guidance will be provided, as applicable, for these </w:t>
      </w:r>
      <w:r w:rsidR="00B80D30">
        <w:t>scenarios at such time.</w:t>
      </w:r>
    </w:p>
    <w:p w:rsidR="00804F0A" w:rsidRDefault="00804F0A">
      <w:pPr>
        <w:contextualSpacing w:val="0"/>
      </w:pPr>
    </w:p>
    <w:p w:rsidR="00804F0A" w:rsidRDefault="00804F0A">
      <w:pPr>
        <w:contextualSpacing w:val="0"/>
      </w:pPr>
      <w:r>
        <w:t>Finance will reach out to the units who have alr</w:t>
      </w:r>
      <w:r w:rsidR="007D4013">
        <w:t xml:space="preserve">eady processed budget amendments </w:t>
      </w:r>
      <w:r>
        <w:t>to coordinate any necessary corrections.</w:t>
      </w:r>
    </w:p>
    <w:p w:rsidR="00B80D30" w:rsidRDefault="00B80D30">
      <w:pPr>
        <w:contextualSpacing w:val="0"/>
      </w:pPr>
    </w:p>
    <w:p w:rsidR="00804F0A" w:rsidRDefault="00B80D30">
      <w:pPr>
        <w:contextualSpacing w:val="0"/>
      </w:pPr>
      <w:r>
        <w:t xml:space="preserve">If you have any questions about the above guidance, or other specific budget/funding questions, please </w:t>
      </w:r>
      <w:r w:rsidR="00804F0A">
        <w:t xml:space="preserve">contact us </w:t>
      </w:r>
      <w:r w:rsidR="00823205">
        <w:t xml:space="preserve">at </w:t>
      </w:r>
      <w:hyperlink r:id="rId10" w:history="1">
        <w:r w:rsidR="00823205" w:rsidRPr="008B1D07">
          <w:rPr>
            <w:rStyle w:val="Hyperlink"/>
          </w:rPr>
          <w:t>bfa@umd.edu</w:t>
        </w:r>
      </w:hyperlink>
      <w:r w:rsidR="00823205">
        <w:t xml:space="preserve"> and we will reply</w:t>
      </w:r>
      <w:r w:rsidR="007D4013">
        <w:t xml:space="preserve"> by phone or e-mail promptly.</w:t>
      </w:r>
    </w:p>
    <w:p w:rsidR="004603EA" w:rsidRDefault="004603EA">
      <w:pPr>
        <w:contextualSpacing w:val="0"/>
      </w:pPr>
    </w:p>
    <w:p w:rsidR="004603EA" w:rsidRDefault="00F47481">
      <w:pPr>
        <w:contextualSpacing w:val="0"/>
      </w:pPr>
      <w:r>
        <w:t>------------------------------------------------------------------------------------------------------------------------------</w:t>
      </w:r>
    </w:p>
    <w:p w:rsidR="004603EA" w:rsidRDefault="004603EA">
      <w:pPr>
        <w:contextualSpacing w:val="0"/>
      </w:pPr>
    </w:p>
    <w:p w:rsidR="004603EA" w:rsidRDefault="004603EA" w:rsidP="004603EA">
      <w:pPr>
        <w:contextualSpacing w:val="0"/>
        <w:rPr>
          <w:b/>
          <w:sz w:val="24"/>
          <w:szCs w:val="24"/>
        </w:rPr>
      </w:pPr>
      <w:r>
        <w:rPr>
          <w:b/>
          <w:sz w:val="24"/>
          <w:szCs w:val="24"/>
        </w:rPr>
        <w:t>Appendix - High-Level Budget and Funding Process Flow</w:t>
      </w:r>
    </w:p>
    <w:p w:rsidR="00A63B20" w:rsidRDefault="00A63B20" w:rsidP="004603EA">
      <w:pPr>
        <w:contextualSpacing w:val="0"/>
        <w:rPr>
          <w:b/>
          <w:sz w:val="24"/>
          <w:szCs w:val="24"/>
        </w:rPr>
      </w:pPr>
    </w:p>
    <w:p w:rsidR="00A63B20" w:rsidRDefault="00A63B20" w:rsidP="004603EA">
      <w:pPr>
        <w:contextualSpacing w:val="0"/>
        <w:rPr>
          <w:b/>
          <w:sz w:val="24"/>
          <w:szCs w:val="24"/>
        </w:rPr>
      </w:pPr>
      <w:r>
        <w:rPr>
          <w:b/>
          <w:noProof/>
          <w:sz w:val="24"/>
          <w:szCs w:val="24"/>
          <w:lang w:val="en-US"/>
        </w:rPr>
        <w:drawing>
          <wp:inline distT="0" distB="0" distL="0" distR="0" wp14:anchorId="73DC9993">
            <wp:extent cx="6661150" cy="3994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1150" cy="3994150"/>
                    </a:xfrm>
                    <a:prstGeom prst="rect">
                      <a:avLst/>
                    </a:prstGeom>
                    <a:noFill/>
                  </pic:spPr>
                </pic:pic>
              </a:graphicData>
            </a:graphic>
          </wp:inline>
        </w:drawing>
      </w:r>
    </w:p>
    <w:p w:rsidR="00F47481" w:rsidRDefault="00F47481" w:rsidP="004603EA">
      <w:pPr>
        <w:contextualSpacing w:val="0"/>
      </w:pPr>
    </w:p>
    <w:p w:rsidR="00155899" w:rsidRDefault="00155899" w:rsidP="004603EA">
      <w:pPr>
        <w:contextualSpacing w:val="0"/>
        <w:rPr>
          <w:u w:val="single"/>
        </w:rPr>
      </w:pPr>
    </w:p>
    <w:p w:rsidR="004603EA" w:rsidRDefault="004603EA" w:rsidP="004603EA">
      <w:pPr>
        <w:contextualSpacing w:val="0"/>
        <w:rPr>
          <w:u w:val="single"/>
        </w:rPr>
      </w:pPr>
      <w:r>
        <w:rPr>
          <w:u w:val="single"/>
        </w:rPr>
        <w:t>Description of Process</w:t>
      </w:r>
    </w:p>
    <w:p w:rsidR="004603EA" w:rsidRDefault="004603EA" w:rsidP="004603EA">
      <w:pPr>
        <w:contextualSpacing w:val="0"/>
        <w:rPr>
          <w:u w:val="single"/>
        </w:rPr>
      </w:pPr>
    </w:p>
    <w:p w:rsidR="004603EA" w:rsidRDefault="004603EA" w:rsidP="0012666E">
      <w:pPr>
        <w:numPr>
          <w:ilvl w:val="0"/>
          <w:numId w:val="1"/>
        </w:numPr>
        <w:ind w:left="270" w:hanging="270"/>
      </w:pPr>
      <w:r>
        <w:t xml:space="preserve">Units and divisions create budget in BPM.  </w:t>
      </w:r>
    </w:p>
    <w:p w:rsidR="004603EA" w:rsidRDefault="004603EA" w:rsidP="0012666E">
      <w:pPr>
        <w:numPr>
          <w:ilvl w:val="0"/>
          <w:numId w:val="1"/>
        </w:numPr>
        <w:ind w:left="270" w:hanging="270"/>
      </w:pPr>
      <w:r>
        <w:t xml:space="preserve">At the close of the working budget in BPM, Finance loads the amount budgeted into KFS. </w:t>
      </w:r>
    </w:p>
    <w:p w:rsidR="005566EA" w:rsidRDefault="004603EA" w:rsidP="00590B0A">
      <w:pPr>
        <w:numPr>
          <w:ilvl w:val="0"/>
          <w:numId w:val="1"/>
        </w:numPr>
        <w:ind w:left="270" w:hanging="270"/>
        <w:contextualSpacing w:val="0"/>
      </w:pPr>
      <w:r>
        <w:t xml:space="preserve">(new) </w:t>
      </w:r>
      <w:r w:rsidR="005566EA">
        <w:t xml:space="preserve">In July, </w:t>
      </w:r>
      <w:r>
        <w:t xml:space="preserve">Finance records actual revenue for state funding in state operating accounts </w:t>
      </w:r>
      <w:r w:rsidR="00F47481">
        <w:t>based on the July 1</w:t>
      </w:r>
      <w:r w:rsidR="00F47481" w:rsidRPr="00590B0A">
        <w:rPr>
          <w:vertAlign w:val="superscript"/>
        </w:rPr>
        <w:t>st</w:t>
      </w:r>
      <w:r w:rsidR="00F47481">
        <w:t xml:space="preserve"> amount budgeted in object code 0221 – Allocation of State Appropriation. </w:t>
      </w:r>
    </w:p>
    <w:p w:rsidR="004603EA" w:rsidRDefault="00D12DEE" w:rsidP="00590B0A">
      <w:pPr>
        <w:numPr>
          <w:ilvl w:val="0"/>
          <w:numId w:val="1"/>
        </w:numPr>
        <w:ind w:left="270" w:hanging="270"/>
        <w:contextualSpacing w:val="0"/>
      </w:pPr>
      <w:r>
        <w:t>Units may adjust t</w:t>
      </w:r>
      <w:r w:rsidR="005566EA">
        <w:t xml:space="preserve">he funding amount in object code 0221 </w:t>
      </w:r>
      <w:r>
        <w:t xml:space="preserve">for </w:t>
      </w:r>
      <w:r w:rsidR="005566EA">
        <w:t xml:space="preserve">budget amendments processed throughout the year. </w:t>
      </w:r>
      <w:r>
        <w:t xml:space="preserve">Central </w:t>
      </w:r>
      <w:r w:rsidR="005566EA">
        <w:t>may also adjust</w:t>
      </w:r>
      <w:r>
        <w:t xml:space="preserve"> amounts</w:t>
      </w:r>
      <w:r w:rsidR="005566EA">
        <w:t xml:space="preserve"> due to mid-year changes to the campus budget, including budget cuts from the state.</w:t>
      </w:r>
      <w:r w:rsidR="00F47481">
        <w:t xml:space="preserve"> </w:t>
      </w:r>
    </w:p>
    <w:sectPr w:rsidR="004603EA" w:rsidSect="00C951A2">
      <w:footerReference w:type="default" r:id="rId12"/>
      <w:pgSz w:w="12240" w:h="15840" w:code="1"/>
      <w:pgMar w:top="1152" w:right="1152"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A0" w:rsidRDefault="00CD0CA0">
      <w:pPr>
        <w:spacing w:line="240" w:lineRule="auto"/>
      </w:pPr>
      <w:r>
        <w:separator/>
      </w:r>
    </w:p>
  </w:endnote>
  <w:endnote w:type="continuationSeparator" w:id="0">
    <w:p w:rsidR="00CD0CA0" w:rsidRDefault="00CD0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6A" w:rsidRDefault="00645845">
    <w:pPr>
      <w:contextualSpacing w:val="0"/>
      <w:jc w:val="right"/>
      <w:rPr>
        <w:sz w:val="16"/>
        <w:szCs w:val="16"/>
      </w:rPr>
    </w:pPr>
    <w:r>
      <w:rPr>
        <w:sz w:val="16"/>
        <w:szCs w:val="16"/>
      </w:rPr>
      <w:t xml:space="preserve">Updated </w:t>
    </w:r>
    <w:r w:rsidR="00DF6073">
      <w:rPr>
        <w:sz w:val="16"/>
        <w:szCs w:val="16"/>
      </w:rPr>
      <w:t>August</w:t>
    </w:r>
    <w:r>
      <w:rPr>
        <w:sz w:val="16"/>
        <w:szCs w:val="16"/>
      </w:rPr>
      <w:t xml:space="preserve"> 2018</w:t>
    </w:r>
  </w:p>
  <w:p w:rsidR="00E8676A" w:rsidRDefault="00645845">
    <w:pPr>
      <w:contextualSpacing w:val="0"/>
      <w:jc w:val="right"/>
      <w:rPr>
        <w:sz w:val="16"/>
        <w:szCs w:val="16"/>
      </w:rPr>
    </w:pPr>
    <w:r>
      <w:rPr>
        <w:sz w:val="16"/>
        <w:szCs w:val="16"/>
      </w:rPr>
      <w:fldChar w:fldCharType="begin"/>
    </w:r>
    <w:r>
      <w:rPr>
        <w:sz w:val="16"/>
        <w:szCs w:val="16"/>
      </w:rPr>
      <w:instrText>PAGE</w:instrText>
    </w:r>
    <w:r>
      <w:rPr>
        <w:sz w:val="16"/>
        <w:szCs w:val="16"/>
      </w:rPr>
      <w:fldChar w:fldCharType="separate"/>
    </w:r>
    <w:r w:rsidR="00FE4651">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A0" w:rsidRDefault="00CD0CA0">
      <w:pPr>
        <w:spacing w:line="240" w:lineRule="auto"/>
      </w:pPr>
      <w:r>
        <w:separator/>
      </w:r>
    </w:p>
  </w:footnote>
  <w:footnote w:type="continuationSeparator" w:id="0">
    <w:p w:rsidR="00CD0CA0" w:rsidRDefault="00CD0C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4768"/>
    <w:multiLevelType w:val="hybridMultilevel"/>
    <w:tmpl w:val="67B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16637"/>
    <w:multiLevelType w:val="multilevel"/>
    <w:tmpl w:val="57E09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F74F9C"/>
    <w:multiLevelType w:val="hybridMultilevel"/>
    <w:tmpl w:val="703E78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A75C27"/>
    <w:multiLevelType w:val="multilevel"/>
    <w:tmpl w:val="E4D0C6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6A"/>
    <w:rsid w:val="0004395F"/>
    <w:rsid w:val="00094217"/>
    <w:rsid w:val="000B6FCB"/>
    <w:rsid w:val="000E7478"/>
    <w:rsid w:val="001179AD"/>
    <w:rsid w:val="0012666E"/>
    <w:rsid w:val="0015009D"/>
    <w:rsid w:val="00155899"/>
    <w:rsid w:val="00176D84"/>
    <w:rsid w:val="0022360A"/>
    <w:rsid w:val="00275BAB"/>
    <w:rsid w:val="00280EE3"/>
    <w:rsid w:val="002A5C1C"/>
    <w:rsid w:val="002B66CD"/>
    <w:rsid w:val="00315726"/>
    <w:rsid w:val="0032645F"/>
    <w:rsid w:val="00330C61"/>
    <w:rsid w:val="00381479"/>
    <w:rsid w:val="003D7D19"/>
    <w:rsid w:val="003F4491"/>
    <w:rsid w:val="00431EF4"/>
    <w:rsid w:val="0043302F"/>
    <w:rsid w:val="004603EA"/>
    <w:rsid w:val="004C4F90"/>
    <w:rsid w:val="004E19A5"/>
    <w:rsid w:val="00523F34"/>
    <w:rsid w:val="00525A3C"/>
    <w:rsid w:val="005566EA"/>
    <w:rsid w:val="00590B0A"/>
    <w:rsid w:val="005B1366"/>
    <w:rsid w:val="005D69A4"/>
    <w:rsid w:val="00645845"/>
    <w:rsid w:val="006573F7"/>
    <w:rsid w:val="00685D13"/>
    <w:rsid w:val="00706BE7"/>
    <w:rsid w:val="007251E8"/>
    <w:rsid w:val="00751731"/>
    <w:rsid w:val="007765E7"/>
    <w:rsid w:val="007D4013"/>
    <w:rsid w:val="00804F0A"/>
    <w:rsid w:val="00804F87"/>
    <w:rsid w:val="00823205"/>
    <w:rsid w:val="00860D4C"/>
    <w:rsid w:val="00897CA2"/>
    <w:rsid w:val="008A560D"/>
    <w:rsid w:val="0095210C"/>
    <w:rsid w:val="00952CEF"/>
    <w:rsid w:val="0097792C"/>
    <w:rsid w:val="00A333BF"/>
    <w:rsid w:val="00A63B20"/>
    <w:rsid w:val="00B106D0"/>
    <w:rsid w:val="00B80D30"/>
    <w:rsid w:val="00BB3178"/>
    <w:rsid w:val="00BE2D68"/>
    <w:rsid w:val="00C12D19"/>
    <w:rsid w:val="00C951A2"/>
    <w:rsid w:val="00CB709C"/>
    <w:rsid w:val="00CD0CA0"/>
    <w:rsid w:val="00D12DEE"/>
    <w:rsid w:val="00D844C3"/>
    <w:rsid w:val="00DF6073"/>
    <w:rsid w:val="00E54852"/>
    <w:rsid w:val="00E8676A"/>
    <w:rsid w:val="00EA2111"/>
    <w:rsid w:val="00EB3DAD"/>
    <w:rsid w:val="00EE0903"/>
    <w:rsid w:val="00EE33C8"/>
    <w:rsid w:val="00EF6F0F"/>
    <w:rsid w:val="00F47481"/>
    <w:rsid w:val="00FE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9620-283D-4C44-9E7D-C3077A72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97C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A2"/>
    <w:rPr>
      <w:rFonts w:ascii="Tahoma" w:hAnsi="Tahoma" w:cs="Tahoma"/>
      <w:sz w:val="16"/>
      <w:szCs w:val="16"/>
    </w:rPr>
  </w:style>
  <w:style w:type="paragraph" w:styleId="ListParagraph">
    <w:name w:val="List Paragraph"/>
    <w:basedOn w:val="Normal"/>
    <w:uiPriority w:val="34"/>
    <w:qFormat/>
    <w:rsid w:val="008A560D"/>
    <w:pPr>
      <w:ind w:left="720"/>
    </w:pPr>
  </w:style>
  <w:style w:type="table" w:styleId="TableGrid">
    <w:name w:val="Table Grid"/>
    <w:basedOn w:val="TableNormal"/>
    <w:uiPriority w:val="39"/>
    <w:rsid w:val="00280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F0A"/>
    <w:rPr>
      <w:color w:val="0000FF" w:themeColor="hyperlink"/>
      <w:u w:val="single"/>
    </w:rPr>
  </w:style>
  <w:style w:type="paragraph" w:styleId="Header">
    <w:name w:val="header"/>
    <w:basedOn w:val="Normal"/>
    <w:link w:val="HeaderChar"/>
    <w:uiPriority w:val="99"/>
    <w:unhideWhenUsed/>
    <w:rsid w:val="00DF6073"/>
    <w:pPr>
      <w:tabs>
        <w:tab w:val="center" w:pos="4680"/>
        <w:tab w:val="right" w:pos="9360"/>
      </w:tabs>
      <w:spacing w:line="240" w:lineRule="auto"/>
    </w:pPr>
  </w:style>
  <w:style w:type="character" w:customStyle="1" w:styleId="HeaderChar">
    <w:name w:val="Header Char"/>
    <w:basedOn w:val="DefaultParagraphFont"/>
    <w:link w:val="Header"/>
    <w:uiPriority w:val="99"/>
    <w:rsid w:val="00DF6073"/>
  </w:style>
  <w:style w:type="paragraph" w:styleId="Footer">
    <w:name w:val="footer"/>
    <w:basedOn w:val="Normal"/>
    <w:link w:val="FooterChar"/>
    <w:uiPriority w:val="99"/>
    <w:unhideWhenUsed/>
    <w:rsid w:val="00DF6073"/>
    <w:pPr>
      <w:tabs>
        <w:tab w:val="center" w:pos="4680"/>
        <w:tab w:val="right" w:pos="9360"/>
      </w:tabs>
      <w:spacing w:line="240" w:lineRule="auto"/>
    </w:pPr>
  </w:style>
  <w:style w:type="character" w:customStyle="1" w:styleId="FooterChar">
    <w:name w:val="Footer Char"/>
    <w:basedOn w:val="DefaultParagraphFont"/>
    <w:link w:val="Footer"/>
    <w:uiPriority w:val="99"/>
    <w:rsid w:val="00DF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fa@umd.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0D84-8541-40FC-805D-01AAA930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Dworkis</dc:creator>
  <cp:lastModifiedBy>Ben Choy</cp:lastModifiedBy>
  <cp:revision>2</cp:revision>
  <cp:lastPrinted>2018-08-09T18:13:00Z</cp:lastPrinted>
  <dcterms:created xsi:type="dcterms:W3CDTF">2018-08-10T11:36:00Z</dcterms:created>
  <dcterms:modified xsi:type="dcterms:W3CDTF">2018-08-10T11:36:00Z</dcterms:modified>
</cp:coreProperties>
</file>